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720" w:after="240"/>
        <w:jc w:val="left"/>
      </w:pPr>
      <w:r>
        <w:rPr>
          <w:rFonts w:ascii="Times New Roman" w:hAnsi="Times New Roman"/>
          <w:b/>
          <w:sz w:val="40"/>
        </w:rPr>
        <w:t>Manuscript Formatting Template and Author Guidelines for Springer Nature Chapters</w:t>
      </w:r>
    </w:p>
    <w:p>
      <w:pPr>
        <w:keepNext/>
        <w:spacing w:before="120" w:after="120"/>
      </w:pPr>
      <w:r>
        <w:rPr>
          <w:rFonts w:ascii="Times New Roman" w:hAnsi="Times New Roman"/>
          <w:b/>
          <w:sz w:val="22"/>
        </w:rPr>
        <w:t>Author Name 1</w:t>
      </w:r>
      <w:r>
        <w:rPr>
          <w:rFonts w:ascii="Times New Roman" w:hAnsi="Times New Roman"/>
          <w:sz w:val="16"/>
          <w:vertAlign w:val="superscript"/>
        </w:rPr>
        <w:t>1</w:t>
      </w:r>
      <w:r>
        <w:t xml:space="preserve">, </w:t>
      </w:r>
      <w:r>
        <w:rPr>
          <w:rFonts w:ascii="Times New Roman" w:hAnsi="Times New Roman"/>
          <w:b/>
          <w:sz w:val="22"/>
        </w:rPr>
        <w:t>Author Name 2</w:t>
      </w:r>
      <w:r>
        <w:rPr>
          <w:rFonts w:ascii="Times New Roman" w:hAnsi="Times New Roman"/>
          <w:sz w:val="16"/>
          <w:vertAlign w:val="superscript"/>
        </w:rPr>
        <w:t>2</w:t>
      </w:r>
      <w:r>
        <w:t xml:space="preserve">, </w:t>
      </w:r>
      <w:r>
        <w:rPr>
          <w:rFonts w:ascii="Times New Roman" w:hAnsi="Times New Roman"/>
          <w:b/>
          <w:sz w:val="22"/>
        </w:rPr>
        <w:t>Author Name 3</w:t>
      </w:r>
      <w:r>
        <w:rPr>
          <w:rFonts w:ascii="Times New Roman" w:hAnsi="Times New Roman"/>
          <w:sz w:val="16"/>
          <w:vertAlign w:val="superscript"/>
        </w:rPr>
        <w:t>3</w:t>
      </w:r>
      <w:r>
        <w:t xml:space="preserve">, </w:t>
      </w:r>
      <w:r>
        <w:rPr>
          <w:rFonts w:ascii="Times New Roman" w:hAnsi="Times New Roman"/>
          <w:b/>
          <w:sz w:val="22"/>
        </w:rPr>
        <w:t>Author Name 4</w:t>
      </w:r>
      <w:r>
        <w:rPr>
          <w:rFonts w:ascii="Times New Roman" w:hAnsi="Times New Roman"/>
          <w:sz w:val="16"/>
          <w:vertAlign w:val="superscript"/>
        </w:rPr>
        <w:t>4</w:t>
      </w:r>
    </w:p>
    <w:p>
      <w:pPr>
        <w:keepNext/>
        <w:spacing w:before="80" w:after="240"/>
      </w:pPr>
      <w:r>
        <w:rPr>
          <w:rFonts w:ascii="Times New Roman" w:hAnsi="Times New Roman"/>
          <w:sz w:val="17"/>
          <w:vertAlign w:val="superscript"/>
        </w:rPr>
        <w:t>1</w:t>
      </w:r>
      <w:r>
        <w:rPr>
          <w:rFonts w:ascii="Times New Roman" w:hAnsi="Times New Roman"/>
          <w:i/>
          <w:sz w:val="19"/>
        </w:rPr>
        <w:t xml:space="preserve"> Department of Computer Science, University of Science, New York, USA</w:t>
      </w:r>
      <w:r>
        <w:br/>
      </w:r>
      <w:r>
        <w:rPr>
          <w:rFonts w:ascii="Times New Roman" w:hAnsi="Times New Roman"/>
          <w:sz w:val="17"/>
          <w:vertAlign w:val="superscript"/>
        </w:rPr>
        <w:t>2</w:t>
      </w:r>
      <w:r>
        <w:rPr>
          <w:rFonts w:ascii="Times New Roman" w:hAnsi="Times New Roman"/>
          <w:i/>
          <w:sz w:val="19"/>
        </w:rPr>
        <w:t xml:space="preserve"> Department of Life Sciences, Institute of Research, London, UK</w:t>
      </w:r>
      <w:r>
        <w:br/>
      </w:r>
      <w:r>
        <w:rPr>
          <w:rFonts w:ascii="Times New Roman" w:hAnsi="Times New Roman"/>
          <w:sz w:val="17"/>
          <w:vertAlign w:val="superscript"/>
        </w:rPr>
        <w:t>3</w:t>
      </w:r>
      <w:r>
        <w:rPr>
          <w:rFonts w:ascii="Times New Roman" w:hAnsi="Times New Roman"/>
          <w:i/>
          <w:sz w:val="19"/>
        </w:rPr>
        <w:t xml:space="preserve"> Department of Mathematics, Federal University, Berlin, Germany</w:t>
      </w:r>
      <w:r>
        <w:br/>
      </w:r>
      <w:r>
        <w:rPr>
          <w:rFonts w:ascii="Times New Roman" w:hAnsi="Times New Roman"/>
          <w:sz w:val="17"/>
          <w:vertAlign w:val="superscript"/>
        </w:rPr>
        <w:t>4</w:t>
      </w:r>
      <w:r>
        <w:rPr>
          <w:rFonts w:ascii="Times New Roman" w:hAnsi="Times New Roman"/>
          <w:i/>
          <w:sz w:val="19"/>
        </w:rPr>
        <w:t xml:space="preserve"> Department of Engineering, Tech Institute, Tokyo, Japan</w:t>
      </w:r>
    </w:p>
    <w:p>
      <w:pPr>
        <w:keepNext/>
        <w:spacing w:before="120" w:after="360"/>
      </w:pPr>
      <w:r>
        <w:rPr>
          <w:rFonts w:ascii="Times New Roman" w:hAnsi="Times New Roman"/>
          <w:b/>
          <w:sz w:val="19"/>
        </w:rPr>
        <w:t xml:space="preserve">Chapter Note: </w:t>
      </w:r>
      <w:r>
        <w:rPr>
          <w:rFonts w:ascii="Times New Roman" w:hAnsi="Times New Roman"/>
          <w:i/>
          <w:sz w:val="19"/>
        </w:rPr>
        <w:t>This is a sample chapter note. This is an optional feature which you may for instance use to dedicate the chapter to someone or to acknowledge equal authorship.</w:t>
      </w:r>
    </w:p>
    <w:p>
      <w:pPr>
        <w:keepNext/>
        <w:spacing w:before="240" w:after="480"/>
        <w:ind w:left="2880"/>
        <w:jc w:val="right"/>
      </w:pPr>
      <w:r>
        <w:rPr>
          <w:rFonts w:ascii="Times New Roman" w:hAnsi="Times New Roman"/>
          <w:i/>
          <w:sz w:val="19"/>
        </w:rPr>
        <w:t>“A motto is a brief statement or phrase that captures the essence or main idea of a chapter. This is an optional feature and should be styled right-aligned.”</w:t>
      </w:r>
    </w:p>
    <w:p>
      <w:pPr>
        <w:spacing w:after="160"/>
        <w:ind w:left="360" w:right="360"/>
      </w:pPr>
      <w:r>
        <w:rPr>
          <w:rFonts w:ascii="Times New Roman" w:hAnsi="Times New Roman"/>
          <w:b/>
          <w:sz w:val="20"/>
        </w:rPr>
        <w:t xml:space="preserve">Abstract </w:t>
      </w:r>
      <w:r>
        <w:rPr>
          <w:rFonts w:ascii="Times New Roman" w:hAnsi="Times New Roman"/>
          <w:sz w:val="20"/>
        </w:rPr>
        <w:t>This user manual provides instructions on how to use the Springer Nature Word template effectively. It is intended as a guide for Springer Nature book and chapter authors in understanding how the template functions. This user guide has been prepared in the form of a sample chapter which at the same time explains the different features offered by this tool. By reading through this document, authors will gain hands-on familiarity with Springer's strict typographic guidelines, ranging from heading hierarchies to specialized didactic paragraphs and back matter formatting.</w:t>
      </w:r>
    </w:p>
    <w:p>
      <w:pPr>
        <w:keepNext/>
        <w:spacing w:after="480"/>
        <w:ind w:left="360" w:right="360"/>
      </w:pPr>
      <w:r>
        <w:rPr>
          <w:rFonts w:ascii="Times New Roman" w:hAnsi="Times New Roman"/>
          <w:b/>
          <w:sz w:val="20"/>
        </w:rPr>
        <w:t xml:space="preserve">Keywords </w:t>
      </w:r>
      <w:r>
        <w:rPr>
          <w:rFonts w:ascii="Times New Roman" w:hAnsi="Times New Roman"/>
          <w:sz w:val="20"/>
        </w:rPr>
        <w:t>Manual, Instructions, User Guide, Word Template, Springer Nature, Formatting Guidelines</w:t>
      </w:r>
    </w:p>
    <w:p>
      <w:pPr>
        <w:pStyle w:val="Heading1"/>
      </w:pPr>
      <w:r>
        <w:t>1 Introduction</w:t>
      </w:r>
    </w:p>
    <w:p>
      <w:pPr>
        <w:spacing w:before="0" w:after="120" w:line="276" w:lineRule="auto"/>
        <w:ind w:firstLine="0"/>
      </w:pPr>
      <w:r>
        <w:rPr>
          <w:rFonts w:ascii="Times New Roman" w:hAnsi="Times New Roman"/>
          <w:sz w:val="22"/>
        </w:rPr>
        <w:t>This document is designed to help authors prepare their manuscript with all necessary structures. The template contains predefined formats for all the essential elements in the manuscript. These formats can be easily applied using mouse clicks and are compatible with both Windows and Mac. This documentation provides a step-by-step instruction for using the template and styles.</w:t>
      </w:r>
    </w:p>
    <w:p>
      <w:pPr>
        <w:spacing w:before="0" w:after="120" w:line="276" w:lineRule="auto"/>
        <w:ind w:firstLine="360"/>
      </w:pPr>
      <w:r>
        <w:rPr>
          <w:rFonts w:ascii="Times New Roman" w:hAnsi="Times New Roman"/>
          <w:sz w:val="22"/>
        </w:rPr>
        <w:t>The Word template has been designed as a tool to help Springer Nature authors to prepare their manuscripts in a well-structured format which can easily be converted into XML. The XML format is the basis for displaying the content on various electronic platforms and for transforming it into the final typeset layout according to Springer Nature’s style specifications.</w:t>
      </w:r>
    </w:p>
    <w:p>
      <w:pPr>
        <w:pStyle w:val="Heading1"/>
      </w:pPr>
      <w:r>
        <w:t>2 Getting Started</w:t>
      </w:r>
    </w:p>
    <w:p>
      <w:pPr>
        <w:spacing w:before="0" w:after="120" w:line="276" w:lineRule="auto"/>
        <w:ind w:firstLine="0"/>
      </w:pPr>
      <w:r>
        <w:rPr>
          <w:rFonts w:ascii="Times New Roman" w:hAnsi="Times New Roman"/>
          <w:sz w:val="22"/>
        </w:rPr>
        <w:t>To initialize and work with the template's macro-enabled features, you must configure Microsoft Word's Trust Center to allow Springer's custom formatting toolbar. Open Word and in the File menu, click on Options. Click on Trust Center and then on Trust Center Settings. Click on Macro Settings and choose “Disable all Macros with notification”, then press OK twice. Exit Word. The following ordered list summarizes the necessary steps to start working with the template:</w:t>
      </w:r>
    </w:p>
    <w:p>
      <w:pPr>
        <w:spacing w:before="0" w:after="80" w:line="276" w:lineRule="auto"/>
        <w:ind w:left="576" w:hanging="360"/>
      </w:pPr>
      <w:r>
        <w:rPr>
          <w:rFonts w:ascii="Times New Roman" w:hAnsi="Times New Roman"/>
          <w:b/>
        </w:rPr>
        <w:t xml:space="preserve">1. </w:t>
      </w:r>
      <w:r>
        <w:rPr>
          <w:rFonts w:ascii="Times New Roman" w:hAnsi="Times New Roman"/>
        </w:rPr>
        <w:t>Open Microsoft Word.</w:t>
      </w:r>
    </w:p>
    <w:p>
      <w:pPr>
        <w:spacing w:before="0" w:after="80" w:line="276" w:lineRule="auto"/>
        <w:ind w:left="576" w:hanging="360"/>
      </w:pPr>
      <w:r>
        <w:rPr>
          <w:rFonts w:ascii="Times New Roman" w:hAnsi="Times New Roman"/>
          <w:b/>
        </w:rPr>
        <w:t xml:space="preserve">2. </w:t>
      </w:r>
      <w:r>
        <w:rPr>
          <w:rFonts w:ascii="Times New Roman" w:hAnsi="Times New Roman"/>
        </w:rPr>
        <w:t>Make changes in the Trust Center Settings as detailed above.</w:t>
      </w:r>
    </w:p>
    <w:p>
      <w:pPr>
        <w:spacing w:before="0" w:after="80" w:line="276" w:lineRule="auto"/>
        <w:ind w:left="576" w:hanging="360"/>
      </w:pPr>
      <w:r>
        <w:rPr>
          <w:rFonts w:ascii="Times New Roman" w:hAnsi="Times New Roman"/>
          <w:b/>
        </w:rPr>
        <w:t xml:space="preserve">3. </w:t>
      </w:r>
      <w:r>
        <w:rPr>
          <w:rFonts w:ascii="Times New Roman" w:hAnsi="Times New Roman"/>
        </w:rPr>
        <w:t>Close Microsoft Word.</w:t>
      </w:r>
    </w:p>
    <w:p>
      <w:pPr>
        <w:spacing w:before="0" w:after="80" w:line="276" w:lineRule="auto"/>
        <w:ind w:left="576" w:hanging="360"/>
      </w:pPr>
      <w:r>
        <w:rPr>
          <w:rFonts w:ascii="Times New Roman" w:hAnsi="Times New Roman"/>
          <w:b/>
        </w:rPr>
        <w:t xml:space="preserve">4. </w:t>
      </w:r>
      <w:r>
        <w:rPr>
          <w:rFonts w:ascii="Times New Roman" w:hAnsi="Times New Roman"/>
        </w:rPr>
        <w:t>Open the Springer Nature Word template.</w:t>
      </w:r>
    </w:p>
    <w:p>
      <w:pPr>
        <w:spacing w:before="0" w:after="80" w:line="276" w:lineRule="auto"/>
        <w:ind w:left="576" w:hanging="360"/>
      </w:pPr>
      <w:r>
        <w:rPr>
          <w:rFonts w:ascii="Times New Roman" w:hAnsi="Times New Roman"/>
          <w:b/>
        </w:rPr>
        <w:t xml:space="preserve">5. </w:t>
      </w:r>
      <w:r>
        <w:rPr>
          <w:rFonts w:ascii="Times New Roman" w:hAnsi="Times New Roman"/>
        </w:rPr>
        <w:t>Once you have completed these steps, a custom tab labelled “Styling” will be displayed in the menu bar (→ Fig. 1).</w:t>
      </w:r>
    </w:p>
    <w:p>
      <w:pPr>
        <w:spacing w:before="0" w:after="120" w:line="276" w:lineRule="auto"/>
        <w:ind w:firstLine="360"/>
      </w:pPr>
      <w:r>
        <w:rPr>
          <w:rFonts w:ascii="Times New Roman" w:hAnsi="Times New Roman"/>
          <w:sz w:val="22"/>
        </w:rPr>
        <w:t>This custom “Styling” ribbon tab is divided into five main sections: Styling, Chapter Header, Chapter Body, Chapter Back Matter, and Extras. The features of the various elements available in these sections are explained in detail below. For each element, a short explanation is available in the template itself and can be seen when hovering over the specific element with the mouse (this feature is currently only available in Windows).</w:t>
      </w:r>
    </w:p>
    <w:p>
      <w:pPr>
        <w:pStyle w:val="Heading1"/>
      </w:pPr>
      <w:r>
        <w:t>3 Heading Hierarchy and Typography</w:t>
      </w:r>
    </w:p>
    <w:p>
      <w:pPr>
        <w:spacing w:before="0" w:after="120" w:line="276" w:lineRule="auto"/>
        <w:ind w:firstLine="0"/>
      </w:pPr>
      <w:r>
        <w:rPr>
          <w:rFonts w:ascii="Times New Roman" w:hAnsi="Times New Roman"/>
          <w:sz w:val="22"/>
        </w:rPr>
        <w:t>Maintaining a strict heading hierarchy is essential for successful XML generation and automated indexing. Springer Nature supports up to five sequential heading levels. You must never skip a heading level (for instance, never place a Heading 3 immediately following a Heading 1; a Heading 2 must always intervene).</w:t>
      </w:r>
    </w:p>
    <w:p>
      <w:pPr>
        <w:pStyle w:val="Heading2"/>
      </w:pPr>
      <w:r>
        <w:t>3.1 Numbered Headings</w:t>
      </w:r>
    </w:p>
    <w:p>
      <w:pPr>
        <w:spacing w:before="0" w:after="120" w:line="276" w:lineRule="auto"/>
        <w:ind w:firstLine="0"/>
      </w:pPr>
      <w:r>
        <w:rPr>
          <w:rFonts w:ascii="Times New Roman" w:hAnsi="Times New Roman"/>
          <w:sz w:val="22"/>
        </w:rPr>
        <w:t>Numbered headings use sequential numerals. Below is an illustrative demonstration of nested levels from Heading 3 down to Heading 5, showcasing the strict hierarchical structure required.</w:t>
      </w:r>
    </w:p>
    <w:p>
      <w:pPr>
        <w:pStyle w:val="Heading3"/>
      </w:pPr>
      <w:r>
        <w:t>3.1.1 Numbered Heading Level 3</w:t>
      </w:r>
    </w:p>
    <w:p>
      <w:pPr>
        <w:spacing w:before="0" w:after="120" w:line="276" w:lineRule="auto"/>
        <w:ind w:firstLine="0"/>
      </w:pPr>
      <w:r>
        <w:rPr>
          <w:rFonts w:ascii="Times New Roman" w:hAnsi="Times New Roman"/>
          <w:sz w:val="22"/>
        </w:rPr>
        <w:t>A Heading Level 3 is nested within a Heading Level 2. The first paragraph following this heading has no first-line indent, as shown here. The typography is set to 12 pt, bold, and is aligned to the left margin.</w:t>
      </w:r>
    </w:p>
    <w:p>
      <w:pPr>
        <w:pStyle w:val="Heading4"/>
      </w:pPr>
      <w:r>
        <w:t>3.1.1.1 Numbered Heading Level 4</w:t>
      </w:r>
    </w:p>
    <w:p>
      <w:pPr>
        <w:spacing w:after="120" w:line="276" w:lineRule="auto"/>
        <w:ind w:firstLine="0"/>
      </w:pPr>
      <w:r>
        <w:rPr>
          <w:rFonts w:ascii="Times New Roman" w:hAnsi="Times New Roman"/>
          <w:b/>
          <w:i/>
          <w:sz w:val="22"/>
        </w:rPr>
        <w:t xml:space="preserve">3.1.1.1.1 Numbered Heading Level 5 — </w:t>
      </w:r>
      <w:r>
        <w:rPr>
          <w:rFonts w:ascii="Times New Roman" w:hAnsi="Times New Roman"/>
        </w:rPr>
        <w:t>A Heading Level 4 is formatted in bold italic. If your manuscript requires a fifth level, Heading Level 5 is styled as an unnumbered italicized header, or can be run-in as demonstrated below.</w:t>
      </w:r>
    </w:p>
    <w:p>
      <w:pPr>
        <w:pStyle w:val="Heading2"/>
      </w:pPr>
      <w:r>
        <w:t>Unnumbered Heading Level 2 (Sample)</w:t>
      </w:r>
    </w:p>
    <w:p>
      <w:pPr>
        <w:spacing w:before="0" w:after="120" w:line="276" w:lineRule="auto"/>
        <w:ind w:firstLine="0"/>
      </w:pPr>
      <w:r>
        <w:rPr>
          <w:rFonts w:ascii="Times New Roman" w:hAnsi="Times New Roman"/>
          <w:sz w:val="22"/>
        </w:rPr>
        <w:t>Unnumbered headings follow the same hierarchical and typographic rules as numbered headings but omit the prefixing numbers. They are typically used in non-technical books or specialized chapters.</w:t>
      </w:r>
    </w:p>
    <w:p>
      <w:pPr>
        <w:pStyle w:val="Heading2"/>
      </w:pPr>
      <w:r>
        <w:t>3.2 Paragraph Headings (Styles 1, 2, and 3)</w:t>
      </w:r>
    </w:p>
    <w:p>
      <w:pPr>
        <w:spacing w:before="0" w:after="120" w:line="276" w:lineRule="auto"/>
        <w:ind w:firstLine="0"/>
      </w:pPr>
      <w:r>
        <w:rPr>
          <w:rFonts w:ascii="Times New Roman" w:hAnsi="Times New Roman"/>
          <w:sz w:val="22"/>
        </w:rPr>
        <w:t>Paragraph headings are utilized when you wish to prefix a paragraph with a distinct title without creating a full-blown section heading. The Springer template offers three custom paragraph heading styles:</w:t>
      </w:r>
    </w:p>
    <w:p>
      <w:pPr>
        <w:spacing w:after="120" w:line="276" w:lineRule="auto"/>
        <w:ind w:firstLine="360"/>
      </w:pPr>
      <w:r>
        <w:rPr>
          <w:rFonts w:ascii="Times New Roman" w:hAnsi="Times New Roman"/>
          <w:b/>
        </w:rPr>
        <w:t xml:space="preserve">Style 1 Paragraph Heading </w:t>
      </w:r>
      <w:r>
        <w:rPr>
          <w:rFonts w:ascii="Times New Roman" w:hAnsi="Times New Roman"/>
        </w:rPr>
        <w:t>To apply Style 1, select the entire paragraph and choose the 'Paragraph' option in the styling toolbar. Then, select only the run-in heading text and choose 'Style 1' from the 'Paragraph Heading' menu. This formats the run-in header in bold while the rest of the text remains in normal typography on the same line.</w:t>
      </w:r>
    </w:p>
    <w:p>
      <w:pPr>
        <w:spacing w:after="120" w:line="276" w:lineRule="auto"/>
        <w:ind w:firstLine="360"/>
      </w:pPr>
      <w:r>
        <w:rPr>
          <w:rFonts w:ascii="Times New Roman" w:hAnsi="Times New Roman"/>
          <w:b/>
          <w:i/>
        </w:rPr>
        <w:t xml:space="preserve">Style 2 Paragraph Heading </w:t>
      </w:r>
      <w:r>
        <w:rPr>
          <w:rFonts w:ascii="Times New Roman" w:hAnsi="Times New Roman"/>
        </w:rPr>
        <w:t>To apply Style 2, select the entire paragraph and choose the 'Paragraph' option. Then, select only the run-in heading and choose 'Style 2' from the 'Paragraph Heading' menu. This formats the run-in heading in bold italic. Like Style 1, this is a true run-in heading where the body text continues on the same line.</w:t>
      </w:r>
    </w:p>
    <w:p>
      <w:pPr>
        <w:keepNext/>
        <w:spacing w:before="80" w:after="40"/>
        <w:ind w:firstLine="360"/>
      </w:pPr>
      <w:r>
        <w:rPr>
          <w:rFonts w:ascii="Times New Roman" w:hAnsi="Times New Roman"/>
          <w:b/>
        </w:rPr>
        <w:t>Style 3 Paragraph Heading</w:t>
      </w:r>
    </w:p>
    <w:p>
      <w:pPr>
        <w:spacing w:after="120" w:line="276" w:lineRule="auto"/>
        <w:ind w:firstLine="360"/>
      </w:pPr>
      <w:r>
        <w:rPr>
          <w:rFonts w:ascii="Times New Roman" w:hAnsi="Times New Roman"/>
        </w:rPr>
        <w:t>Unlike Style 1 and Style 2, Style 3 is not a run-in heading. To apply Style 3, select the entire paragraph and choose the 'Paragraph' option. Select only the heading and select 'Style 3' from the 'Paragraph Heading' menu. This formats the heading in bold and moves the subsequent body text to start on a new line.</w:t>
      </w:r>
    </w:p>
    <w:p>
      <w:pPr>
        <w:pStyle w:val="Heading1"/>
      </w:pPr>
      <w:r>
        <w:t>4 Lists, Quotes, and Code Blocks</w:t>
      </w:r>
    </w:p>
    <w:p>
      <w:pPr>
        <w:spacing w:before="0" w:after="120" w:line="276" w:lineRule="auto"/>
        <w:ind w:firstLine="0"/>
      </w:pPr>
      <w:r>
        <w:rPr>
          <w:rFonts w:ascii="Times New Roman" w:hAnsi="Times New Roman"/>
          <w:sz w:val="22"/>
        </w:rPr>
        <w:t>Lists, quotations, and code snippets require custom styling to differentiate them from surrounding body paragraphs. Use the specialized styles provided in the 'Chapter Body' section of the Styling ribbon.</w:t>
      </w:r>
    </w:p>
    <w:p>
      <w:pPr>
        <w:spacing w:after="80"/>
      </w:pPr>
      <w:r>
        <w:rPr>
          <w:rFonts w:ascii="Times New Roman" w:hAnsi="Times New Roman"/>
        </w:rPr>
        <w:t>Unordered lists use a solid round bullet glyph, followed by a tab:</w:t>
      </w:r>
    </w:p>
    <w:p>
      <w:pPr>
        <w:pStyle w:val="ListBullet"/>
        <w:spacing w:before="0" w:after="60" w:line="276" w:lineRule="auto"/>
      </w:pPr>
      <w:r>
        <w:rPr>
          <w:rFonts w:ascii="Times New Roman" w:hAnsi="Times New Roman"/>
        </w:rPr>
        <w:t>Unordered list item demonstrating standard indentation.</w:t>
      </w:r>
    </w:p>
    <w:p>
      <w:pPr>
        <w:pStyle w:val="ListBullet"/>
        <w:spacing w:before="0" w:after="60" w:line="276" w:lineRule="auto"/>
      </w:pPr>
      <w:r>
        <w:rPr>
          <w:rFonts w:ascii="Times New Roman" w:hAnsi="Times New Roman"/>
        </w:rPr>
        <w:t>Unordered list item demonstrating a secondary point.</w:t>
      </w:r>
    </w:p>
    <w:p>
      <w:pPr>
        <w:spacing w:before="80" w:after="80"/>
      </w:pPr>
      <w:r>
        <w:rPr>
          <w:rFonts w:ascii="Times New Roman" w:hAnsi="Times New Roman"/>
        </w:rPr>
        <w:t>To nested sub-elements within a list, select the 'Sublist' option. This indents the item and applies a dash (–) glyph:</w:t>
      </w:r>
    </w:p>
    <w:p>
      <w:pPr>
        <w:spacing w:after="60" w:line="276" w:lineRule="auto"/>
        <w:ind w:left="720"/>
      </w:pPr>
      <w:r>
        <w:rPr>
          <w:rFonts w:ascii="Times New Roman" w:hAnsi="Times New Roman"/>
          <w:b/>
        </w:rPr>
        <w:t xml:space="preserve">–  </w:t>
      </w:r>
      <w:r>
        <w:rPr>
          <w:rFonts w:ascii="Times New Roman" w:hAnsi="Times New Roman"/>
        </w:rPr>
        <w:t>Sublist item nested under a bullet point.</w:t>
      </w:r>
    </w:p>
    <w:p>
      <w:pPr>
        <w:spacing w:after="80" w:line="276" w:lineRule="auto"/>
        <w:ind w:left="720"/>
      </w:pPr>
      <w:r>
        <w:rPr>
          <w:rFonts w:ascii="Times New Roman" w:hAnsi="Times New Roman"/>
          <w:b/>
        </w:rPr>
        <w:t xml:space="preserve">–  </w:t>
      </w:r>
      <w:r>
        <w:rPr>
          <w:rFonts w:ascii="Times New Roman" w:hAnsi="Times New Roman"/>
        </w:rPr>
        <w:t>Second sublist item demonstrating alignment.</w:t>
      </w:r>
    </w:p>
    <w:p>
      <w:pPr>
        <w:spacing w:before="0" w:after="120" w:line="276" w:lineRule="auto"/>
        <w:ind w:firstLine="360"/>
      </w:pPr>
      <w:r>
        <w:rPr>
          <w:rFonts w:ascii="Times New Roman" w:hAnsi="Times New Roman"/>
          <w:sz w:val="22"/>
        </w:rPr>
        <w:t>Long quotations (typically exceeding 50 words) should be separated from the main body using the 'Block Quote' option. This indents the quotation on both the left and right sides to visually isolate it:</w:t>
      </w:r>
    </w:p>
    <w:p>
      <w:pPr>
        <w:spacing w:before="120" w:after="120" w:line="264" w:lineRule="auto"/>
        <w:ind w:left="864" w:right="864"/>
      </w:pPr>
      <w:r>
        <w:rPr>
          <w:rFonts w:ascii="Times New Roman" w:hAnsi="Times New Roman"/>
          <w:i/>
          <w:sz w:val="20"/>
        </w:rPr>
        <w:t>“A block quote is a long quotation that is visually separated from the surrounding text. It is typically formatted with a larger indent on both the left and right sides, and may also use a different font or font size. To create a block quote, use the 'Block Quote' option on your custom styling toolbar to apply these properties automatically.”</w:t>
      </w:r>
    </w:p>
    <w:p>
      <w:pPr>
        <w:spacing w:before="0" w:after="120" w:line="276" w:lineRule="auto"/>
        <w:ind w:firstLine="360"/>
      </w:pPr>
      <w:r>
        <w:rPr>
          <w:rFonts w:ascii="Times New Roman" w:hAnsi="Times New Roman"/>
          <w:sz w:val="22"/>
        </w:rPr>
        <w:t>Source code or programming instructions should be formatted in a monospaced font using the 'Computer Code' style, as shown in this Python snippet:</w:t>
      </w:r>
    </w:p>
    <w:tbl>
      <w:tblPr>
        <w:tblW w:type="auto" w:w="0"/>
        <w:tblLayout w:type="fixed"/>
        <w:tblLook w:firstColumn="1" w:firstRow="1" w:lastColumn="0" w:lastRow="0" w:noHBand="0" w:noVBand="1" w:val="04A0"/>
      </w:tblPr>
      <w:tblGrid>
        <w:gridCol w:w="8784"/>
      </w:tblGrid>
      <w:tr>
        <w:tc>
          <w:tcPr>
            <w:tcW w:type="dxa" w:w="8784"/>
            <w:shd w:val="clear" w:color="auto" w:fill="F5F5F5"/>
            <w:tcBorders>
              <w:top w:val="single" w:sz="4" w:space="0" w:color="D3D3D3"/>
              <w:bottom w:val="single" w:sz="4" w:space="0" w:color="D3D3D3"/>
              <w:left w:val="single" w:sz="4" w:space="0" w:color="D3D3D3"/>
              <w:right w:val="single" w:sz="4" w:space="0" w:color="D3D3D3"/>
            </w:tcBorders>
          </w:tcPr>
          <w:p>
            <w:pPr>
              <w:spacing w:before="120" w:after="120" w:line="240" w:lineRule="auto"/>
              <w:ind w:left="216"/>
            </w:pPr>
            <w:r>
              <w:rPr>
                <w:rFonts w:ascii="Courier New" w:hAnsi="Courier New"/>
                <w:sz w:val="19"/>
              </w:rPr>
              <w:t>def find_largest(numbers):</w:t>
              <w:br/>
              <w:t xml:space="preserve">    largest_number = numbers[0]</w:t>
              <w:br/>
              <w:t xml:space="preserve">    for number in numbers:</w:t>
              <w:br/>
              <w:t xml:space="preserve">        if number &gt; largest_number:</w:t>
              <w:br/>
              <w:t xml:space="preserve">            largest_number = number</w:t>
              <w:br/>
              <w:t xml:space="preserve">    return largest_number</w:t>
            </w:r>
          </w:p>
        </w:tc>
      </w:tr>
    </w:tbl>
    <w:p>
      <w:pPr>
        <w:spacing w:after="120"/>
      </w:pPr>
    </w:p>
    <w:p>
      <w:pPr>
        <w:pStyle w:val="Heading1"/>
      </w:pPr>
      <w:r>
        <w:t>5 Didactic Elements (Special Paragraphs)</w:t>
      </w:r>
    </w:p>
    <w:p>
      <w:pPr>
        <w:spacing w:before="0" w:after="120" w:line="276" w:lineRule="auto"/>
        <w:ind w:firstLine="0"/>
      </w:pPr>
      <w:r>
        <w:rPr>
          <w:rFonts w:ascii="Times New Roman" w:hAnsi="Times New Roman"/>
          <w:sz w:val="22"/>
        </w:rPr>
        <w:t>A didactic element is a component within a piece of work that primarily aims to teach or instruct. The Springer Nature Word template provides eight styling choices for didactic elements. Each special paragraph style automatically inserts the corresponding bold label (e.g., 'Warning') and places an 'End Tag' (represented by a structural marker) at the end of the first paragraph. If a didactic block spans multiple paragraphs, you must insert the 'End Tag' manually at the very end of the last paragraph. Below, we demonstrate all seven didactic options formatted as professional callouts:</w:t>
      </w:r>
    </w:p>
    <w:tbl>
      <w:tblPr>
        <w:tblW w:type="auto" w:w="0"/>
        <w:tblLayout w:type="fixed"/>
        <w:tblLook w:firstColumn="1" w:firstRow="1" w:lastColumn="0" w:lastRow="0" w:noHBand="0" w:noVBand="1" w:val="04A0"/>
      </w:tblPr>
      <w:tblGrid>
        <w:gridCol w:w="8784"/>
      </w:tblGrid>
      <w:tr>
        <w:tc>
          <w:tcPr>
            <w:tcW w:type="dxa" w:w="8784"/>
            <w:shd w:val="clear" w:color="auto" w:fill="F3F4F6"/>
            <w:tcBorders>
              <w:left w:val="single" w:sz="24" w:space="0" w:color="2F5496"/>
              <w:top w:val="none"/>
              <w:bottom w:val="none"/>
              <w:right w:val="none"/>
            </w:tcBorders>
            <w:tcMar>
              <w:top w:w="140" w:type="dxa"/>
              <w:bottom w:w="140" w:type="dxa"/>
              <w:left w:w="240" w:type="dxa"/>
              <w:right w:w="240" w:type="dxa"/>
            </w:tcMar>
          </w:tcPr>
          <w:p>
            <w:pPr>
              <w:spacing w:before="80" w:after="80" w:line="276" w:lineRule="auto"/>
              <w:ind w:firstLine="0"/>
            </w:pPr>
            <w:r>
              <w:rPr>
                <w:rFonts w:ascii="Times New Roman" w:hAnsi="Times New Roman"/>
                <w:b/>
                <w:sz w:val="21"/>
              </w:rPr>
              <w:t xml:space="preserve">Example </w:t>
            </w:r>
            <w:r>
              <w:rPr>
                <w:rFonts w:ascii="Times New Roman" w:hAnsi="Times New Roman"/>
                <w:sz w:val="21"/>
              </w:rPr>
              <w:t>This example demonstrates how to add an 'Example' element as a distinct didactic feature that stands out from the main content. When you select 'Example' from the Special Paragraph menu, the heading 'Example' is automatically inserted if not already present. An 'End Tag' is appended to define its end. ■</w:t>
            </w:r>
          </w:p>
        </w:tc>
      </w:tr>
    </w:tbl>
    <w:p>
      <w:pPr>
        <w:spacing w:before="0" w:after="120" w:line="240" w:lineRule="auto"/>
      </w:pPr>
    </w:p>
    <w:tbl>
      <w:tblPr>
        <w:tblW w:type="auto" w:w="0"/>
        <w:tblLayout w:type="fixed"/>
        <w:tblLook w:firstColumn="1" w:firstRow="1" w:lastColumn="0" w:lastRow="0" w:noHBand="0" w:noVBand="1" w:val="04A0"/>
      </w:tblPr>
      <w:tblGrid>
        <w:gridCol w:w="8784"/>
      </w:tblGrid>
      <w:tr>
        <w:tc>
          <w:tcPr>
            <w:tcW w:type="dxa" w:w="8784"/>
            <w:shd w:val="clear" w:color="auto" w:fill="F0FDF4"/>
            <w:tcBorders>
              <w:left w:val="single" w:sz="24" w:space="0" w:color="16A34A"/>
              <w:top w:val="none"/>
              <w:bottom w:val="none"/>
              <w:right w:val="none"/>
            </w:tcBorders>
            <w:tcMar>
              <w:top w:w="140" w:type="dxa"/>
              <w:bottom w:w="140" w:type="dxa"/>
              <w:left w:w="240" w:type="dxa"/>
              <w:right w:w="240" w:type="dxa"/>
            </w:tcMar>
          </w:tcPr>
          <w:p>
            <w:pPr>
              <w:spacing w:before="80" w:after="80" w:line="276" w:lineRule="auto"/>
              <w:ind w:firstLine="0"/>
            </w:pPr>
            <w:r>
              <w:rPr>
                <w:rFonts w:ascii="Times New Roman" w:hAnsi="Times New Roman"/>
                <w:b/>
                <w:sz w:val="21"/>
              </w:rPr>
              <w:t xml:space="preserve">Definition </w:t>
            </w:r>
            <w:r>
              <w:rPr>
                <w:rFonts w:ascii="Times New Roman" w:hAnsi="Times New Roman"/>
                <w:sz w:val="21"/>
              </w:rPr>
              <w:t>This example demonstrates how to add a 'Definition' element. It is styled with distinct boundaries to highlight critical terminology and conceptual frameworks. An 'End Tag' must be appended at the end of the definition. ■</w:t>
            </w:r>
          </w:p>
        </w:tc>
      </w:tr>
    </w:tbl>
    <w:p>
      <w:pPr>
        <w:spacing w:before="0" w:after="120" w:line="240" w:lineRule="auto"/>
      </w:pPr>
    </w:p>
    <w:tbl>
      <w:tblPr>
        <w:tblW w:type="auto" w:w="0"/>
        <w:tblLayout w:type="fixed"/>
        <w:tblLook w:firstColumn="1" w:firstRow="1" w:lastColumn="0" w:lastRow="0" w:noHBand="0" w:noVBand="1" w:val="04A0"/>
      </w:tblPr>
      <w:tblGrid>
        <w:gridCol w:w="8784"/>
      </w:tblGrid>
      <w:tr>
        <w:tc>
          <w:tcPr>
            <w:tcW w:type="dxa" w:w="8784"/>
            <w:shd w:val="clear" w:color="auto" w:fill="FEF2F2"/>
            <w:tcBorders>
              <w:left w:val="single" w:sz="24" w:space="0" w:color="DC2626"/>
              <w:top w:val="none"/>
              <w:bottom w:val="none"/>
              <w:right w:val="none"/>
            </w:tcBorders>
            <w:tcMar>
              <w:top w:w="140" w:type="dxa"/>
              <w:bottom w:w="140" w:type="dxa"/>
              <w:left w:w="240" w:type="dxa"/>
              <w:right w:w="240" w:type="dxa"/>
            </w:tcMar>
          </w:tcPr>
          <w:p>
            <w:pPr>
              <w:spacing w:before="80" w:after="80" w:line="276" w:lineRule="auto"/>
              <w:ind w:firstLine="0"/>
            </w:pPr>
            <w:r>
              <w:rPr>
                <w:rFonts w:ascii="Times New Roman" w:hAnsi="Times New Roman"/>
                <w:b/>
                <w:sz w:val="21"/>
              </w:rPr>
              <w:t xml:space="preserve">Warning </w:t>
            </w:r>
            <w:r>
              <w:rPr>
                <w:rFonts w:ascii="Times New Roman" w:hAnsi="Times New Roman"/>
                <w:sz w:val="21"/>
              </w:rPr>
              <w:t>This example demonstrates how to add a 'Warning' element as a distinct feature. This style is utilized to alert the reader to crucial pitfalls, common manuscript errors, or structural requirements that could compromise XML conversion. ■</w:t>
            </w:r>
          </w:p>
        </w:tc>
      </w:tr>
    </w:tbl>
    <w:p>
      <w:pPr>
        <w:spacing w:before="0" w:after="120" w:line="240" w:lineRule="auto"/>
      </w:pPr>
    </w:p>
    <w:tbl>
      <w:tblPr>
        <w:tblW w:type="auto" w:w="0"/>
        <w:tblLayout w:type="fixed"/>
        <w:tblLook w:firstColumn="1" w:firstRow="1" w:lastColumn="0" w:lastRow="0" w:noHBand="0" w:noVBand="1" w:val="04A0"/>
      </w:tblPr>
      <w:tblGrid>
        <w:gridCol w:w="8784"/>
      </w:tblGrid>
      <w:tr>
        <w:tc>
          <w:tcPr>
            <w:tcW w:type="dxa" w:w="8784"/>
            <w:shd w:val="clear" w:color="auto" w:fill="FEF3C7"/>
            <w:tcBorders>
              <w:left w:val="single" w:sz="24" w:space="0" w:color="D97706"/>
              <w:top w:val="none"/>
              <w:bottom w:val="none"/>
              <w:right w:val="none"/>
            </w:tcBorders>
            <w:tcMar>
              <w:top w:w="140" w:type="dxa"/>
              <w:bottom w:w="140" w:type="dxa"/>
              <w:left w:w="240" w:type="dxa"/>
              <w:right w:w="240" w:type="dxa"/>
            </w:tcMar>
          </w:tcPr>
          <w:p>
            <w:pPr>
              <w:spacing w:before="80" w:after="80" w:line="276" w:lineRule="auto"/>
              <w:ind w:firstLine="0"/>
            </w:pPr>
            <w:r>
              <w:rPr>
                <w:rFonts w:ascii="Times New Roman" w:hAnsi="Times New Roman"/>
                <w:b/>
                <w:sz w:val="21"/>
              </w:rPr>
              <w:t xml:space="preserve">Overview </w:t>
            </w:r>
            <w:r>
              <w:rPr>
                <w:rFonts w:ascii="Times New Roman" w:hAnsi="Times New Roman"/>
                <w:sz w:val="21"/>
              </w:rPr>
              <w:t>This example demonstrates how to add an 'Overview' element. Use this style to present high-level chapter summaries, propose structurally complex concepts, or outline upcoming multi-step instructions for readers. ■</w:t>
            </w:r>
          </w:p>
        </w:tc>
      </w:tr>
    </w:tbl>
    <w:p>
      <w:pPr>
        <w:spacing w:before="0" w:after="120" w:line="240" w:lineRule="auto"/>
      </w:pPr>
    </w:p>
    <w:tbl>
      <w:tblPr>
        <w:tblW w:type="auto" w:w="0"/>
        <w:tblLayout w:type="fixed"/>
        <w:tblLook w:firstColumn="1" w:firstRow="1" w:lastColumn="0" w:lastRow="0" w:noHBand="0" w:noVBand="1" w:val="04A0"/>
      </w:tblPr>
      <w:tblGrid>
        <w:gridCol w:w="8784"/>
      </w:tblGrid>
      <w:tr>
        <w:tc>
          <w:tcPr>
            <w:tcW w:type="dxa" w:w="8784"/>
            <w:shd w:val="clear" w:color="auto" w:fill="F5F3FF"/>
            <w:tcBorders>
              <w:left w:val="single" w:sz="24" w:space="0" w:color="7C3AED"/>
              <w:top w:val="none"/>
              <w:bottom w:val="none"/>
              <w:right w:val="none"/>
            </w:tcBorders>
            <w:tcMar>
              <w:top w:w="140" w:type="dxa"/>
              <w:bottom w:w="140" w:type="dxa"/>
              <w:left w:w="240" w:type="dxa"/>
              <w:right w:w="240" w:type="dxa"/>
            </w:tcMar>
          </w:tcPr>
          <w:p>
            <w:pPr>
              <w:spacing w:before="80" w:after="80" w:line="276" w:lineRule="auto"/>
              <w:ind w:firstLine="0"/>
            </w:pPr>
            <w:r>
              <w:rPr>
                <w:rFonts w:ascii="Times New Roman" w:hAnsi="Times New Roman"/>
                <w:b/>
                <w:sz w:val="21"/>
              </w:rPr>
              <w:t xml:space="preserve">Important </w:t>
            </w:r>
            <w:r>
              <w:rPr>
                <w:rFonts w:ascii="Times New Roman" w:hAnsi="Times New Roman"/>
                <w:sz w:val="21"/>
              </w:rPr>
              <w:t>This example demonstrates how to add an 'Important' element. Apply this formatting to draw attention to essential guidelines, specific style exceptions, or non-negotiable Springer manuscript rules. ■</w:t>
            </w:r>
          </w:p>
        </w:tc>
      </w:tr>
    </w:tbl>
    <w:p>
      <w:pPr>
        <w:spacing w:before="0" w:after="120" w:line="240" w:lineRule="auto"/>
      </w:pPr>
    </w:p>
    <w:tbl>
      <w:tblPr>
        <w:tblW w:type="auto" w:w="0"/>
        <w:tblLayout w:type="fixed"/>
        <w:tblLook w:firstColumn="1" w:firstRow="1" w:lastColumn="0" w:lastRow="0" w:noHBand="0" w:noVBand="1" w:val="04A0"/>
      </w:tblPr>
      <w:tblGrid>
        <w:gridCol w:w="8784"/>
      </w:tblGrid>
      <w:tr>
        <w:tc>
          <w:tcPr>
            <w:tcW w:type="dxa" w:w="8784"/>
            <w:shd w:val="clear" w:color="auto" w:fill="ECFEFF"/>
            <w:tcBorders>
              <w:left w:val="single" w:sz="24" w:space="0" w:color="0891B2"/>
              <w:top w:val="none"/>
              <w:bottom w:val="none"/>
              <w:right w:val="none"/>
            </w:tcBorders>
            <w:tcMar>
              <w:top w:w="140" w:type="dxa"/>
              <w:bottom w:w="140" w:type="dxa"/>
              <w:left w:w="240" w:type="dxa"/>
              <w:right w:w="240" w:type="dxa"/>
            </w:tcMar>
          </w:tcPr>
          <w:p>
            <w:pPr>
              <w:spacing w:before="80" w:after="80" w:line="276" w:lineRule="auto"/>
              <w:ind w:firstLine="0"/>
            </w:pPr>
            <w:r>
              <w:rPr>
                <w:rFonts w:ascii="Times New Roman" w:hAnsi="Times New Roman"/>
                <w:b/>
                <w:sz w:val="21"/>
              </w:rPr>
              <w:t xml:space="preserve">Question </w:t>
            </w:r>
            <w:r>
              <w:rPr>
                <w:rFonts w:ascii="Times New Roman" w:hAnsi="Times New Roman"/>
                <w:sz w:val="21"/>
              </w:rPr>
              <w:t>This example demonstrates how to add a 'Question' element. This style is designed for instructional material, textbooks, or chapters that prompt self-assessment, critical thinking, or review questions for the reader. ■</w:t>
            </w:r>
          </w:p>
        </w:tc>
      </w:tr>
    </w:tbl>
    <w:p>
      <w:pPr>
        <w:spacing w:before="0" w:after="120" w:line="240" w:lineRule="auto"/>
      </w:pPr>
    </w:p>
    <w:tbl>
      <w:tblPr>
        <w:tblW w:type="auto" w:w="0"/>
        <w:tblLayout w:type="fixed"/>
        <w:tblLook w:firstColumn="1" w:firstRow="1" w:lastColumn="0" w:lastRow="0" w:noHBand="0" w:noVBand="1" w:val="04A0"/>
      </w:tblPr>
      <w:tblGrid>
        <w:gridCol w:w="8784"/>
      </w:tblGrid>
      <w:tr>
        <w:tc>
          <w:tcPr>
            <w:tcW w:type="dxa" w:w="8784"/>
            <w:shd w:val="clear" w:color="auto" w:fill="F9FAFB"/>
            <w:tcBorders>
              <w:left w:val="single" w:sz="24" w:space="0" w:color="4B5563"/>
              <w:top w:val="none"/>
              <w:bottom w:val="none"/>
              <w:right w:val="none"/>
            </w:tcBorders>
            <w:tcMar>
              <w:top w:w="140" w:type="dxa"/>
              <w:bottom w:w="140" w:type="dxa"/>
              <w:left w:w="240" w:type="dxa"/>
              <w:right w:w="240" w:type="dxa"/>
            </w:tcMar>
          </w:tcPr>
          <w:p>
            <w:pPr>
              <w:spacing w:before="80" w:after="80" w:line="276" w:lineRule="auto"/>
              <w:ind w:firstLine="0"/>
            </w:pPr>
            <w:r>
              <w:rPr>
                <w:rFonts w:ascii="Times New Roman" w:hAnsi="Times New Roman"/>
                <w:b/>
                <w:sz w:val="21"/>
              </w:rPr>
              <w:t xml:space="preserve">Legal </w:t>
            </w:r>
            <w:r>
              <w:rPr>
                <w:rFonts w:ascii="Times New Roman" w:hAnsi="Times New Roman"/>
                <w:sz w:val="21"/>
              </w:rPr>
              <w:t>This example demonstrates how to add a 'Legal' element. It is reserved for copyright declarations, licensing conditions, third-party permissions, and legal liability waivers associated with the chapter content. ■</w:t>
            </w:r>
          </w:p>
        </w:tc>
      </w:tr>
    </w:tbl>
    <w:p>
      <w:pPr>
        <w:spacing w:before="0" w:after="120" w:line="240" w:lineRule="auto"/>
      </w:pPr>
    </w:p>
    <w:p>
      <w:pPr>
        <w:pStyle w:val="Heading1"/>
      </w:pPr>
      <w:r>
        <w:t>6 Mathematical Equations</w:t>
      </w:r>
    </w:p>
    <w:p>
      <w:pPr>
        <w:spacing w:before="0" w:after="120" w:line="276" w:lineRule="auto"/>
        <w:ind w:firstLine="0"/>
      </w:pPr>
      <w:r>
        <w:rPr>
          <w:rFonts w:ascii="Times New Roman" w:hAnsi="Times New Roman"/>
          <w:sz w:val="22"/>
        </w:rPr>
        <w:t>Equations in Springer Nature manuscripts can be presented in two ways: inline within the running text flow, or displayed on a separate line. Displayed equations can be either numbered or unnumbered.</w:t>
      </w:r>
    </w:p>
    <w:p>
      <w:pPr>
        <w:spacing w:before="0" w:after="120" w:line="276" w:lineRule="auto"/>
        <w:ind w:firstLine="360"/>
      </w:pPr>
      <w:r>
        <w:rPr>
          <w:rFonts w:ascii="Times New Roman" w:hAnsi="Times New Roman"/>
          <w:sz w:val="22"/>
        </w:rPr>
        <w:t>Inline equations appear naturally within the flow of text, similar to regular words. To insert an inline equation such as a^2 + b^2 = c^2, place your cursor at the desired location and select 'Equation' to embed a Microsoft Equation Editor block.</w:t>
      </w:r>
    </w:p>
    <w:p>
      <w:pPr>
        <w:spacing w:before="0" w:after="120" w:line="276" w:lineRule="auto"/>
        <w:ind w:firstLine="360"/>
      </w:pPr>
      <w:r>
        <w:rPr>
          <w:rFonts w:ascii="Times New Roman" w:hAnsi="Times New Roman"/>
          <w:sz w:val="22"/>
        </w:rPr>
        <w:t>Displayed equations are placed on separate lines. If they are numbered, the equation number must be right-aligned within parentheses. Below is a beautifully aligned example of a numbered displayed equation:</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4392"/>
        <w:gridCol w:w="4392"/>
      </w:tblGrid>
      <w:tr>
        <w:tc>
          <w:tcPr>
            <w:tcW w:type="dxa" w:w="7344"/>
          </w:tcPr>
          <w:p>
            <w:pPr>
              <w:spacing w:before="120" w:after="120"/>
              <w:jc w:val="center"/>
            </w:pPr>
            <w:r>
              <w:rPr>
                <w:rFonts w:ascii="Times New Roman" w:hAnsi="Times New Roman"/>
                <w:i/>
              </w:rPr>
              <w:t>√a^2 + b^2</w:t>
            </w:r>
          </w:p>
        </w:tc>
        <w:tc>
          <w:tcPr>
            <w:tcW w:type="dxa" w:w="1440"/>
          </w:tcPr>
          <w:p>
            <w:pPr>
              <w:spacing w:before="120" w:after="120"/>
              <w:jc w:val="right"/>
            </w:pPr>
            <w:r>
              <w:rPr>
                <w:rFonts w:ascii="Times New Roman" w:hAnsi="Times New Roman"/>
              </w:rPr>
              <w:t>(1)</w:t>
            </w:r>
          </w:p>
        </w:tc>
      </w:tr>
    </w:tbl>
    <w:p>
      <w:pPr>
        <w:spacing w:after="120"/>
      </w:pPr>
    </w:p>
    <w:p>
      <w:pPr>
        <w:pStyle w:val="Heading1"/>
      </w:pPr>
      <w:r>
        <w:t>7 Figures, Tables, and Footnotes</w:t>
      </w:r>
    </w:p>
    <w:p>
      <w:pPr>
        <w:spacing w:before="0" w:after="120" w:line="276" w:lineRule="auto"/>
        <w:ind w:firstLine="0"/>
      </w:pPr>
      <w:r>
        <w:rPr>
          <w:rFonts w:ascii="Times New Roman" w:hAnsi="Times New Roman"/>
          <w:sz w:val="22"/>
        </w:rPr>
        <w:t>All visual and structural additions like figures and tables must follow precise placement and captioning guidelines. Crucially, figure captions must be placed underneath the figure, whereas table captions must be placed above the table. Standard footnoting can be applied in running text (→ Footnote 1).</w:t>
      </w:r>
    </w:p>
    <w:p>
      <w:pPr>
        <w:spacing w:before="240" w:after="240"/>
        <w:ind w:left="360"/>
      </w:pPr>
    </w:p>
    <w:tbl>
      <w:tblPr>
        <w:tblW w:type="auto" w:w="0"/>
        <w:tblLayout w:type="fixed"/>
        <w:tblLook w:firstColumn="1" w:firstRow="1" w:lastColumn="0" w:lastRow="0" w:noHBand="0" w:noVBand="1" w:val="04A0"/>
      </w:tblPr>
      <w:tblGrid>
        <w:gridCol w:w="8784"/>
      </w:tblGrid>
      <w:tr>
        <w:tc>
          <w:tcPr>
            <w:tcW w:type="dxa" w:w="2880"/>
            <w:tcBorders>
              <w:bottom w:val="single" w:sz="12" w:color="A0A0A0"/>
              <w:top w:val="none"/>
              <w:left w:val="none"/>
              <w:right w:val="none"/>
            </w:tcBorders>
          </w:tcPr>
          <w:p/>
        </w:tc>
      </w:tr>
    </w:tbl>
    <w:p>
      <w:pPr>
        <w:spacing w:after="240"/>
      </w:pPr>
      <w:r>
        <w:rPr>
          <w:rFonts w:ascii="Times New Roman" w:hAnsi="Times New Roman"/>
          <w:sz w:val="18"/>
          <w:vertAlign w:val="superscript"/>
        </w:rPr>
        <w:t xml:space="preserve">1  </w:t>
      </w:r>
      <w:r>
        <w:rPr>
          <w:rFonts w:ascii="Times New Roman" w:hAnsi="Times New Roman"/>
          <w:sz w:val="18"/>
        </w:rPr>
        <w:t>This is a sample page footnote. Place your cursor where you want the footnote to appear and choose 'Footnote' from the ribbon.</w:t>
      </w:r>
    </w:p>
    <w:p>
      <w:pPr>
        <w:keepNext/>
        <w:spacing w:before="240" w:after="80"/>
      </w:pPr>
      <w:r>
        <w:rPr>
          <w:rFonts w:ascii="Times New Roman" w:hAnsi="Times New Roman"/>
          <w:b/>
        </w:rPr>
        <w:t>Table 1</w:t>
      </w:r>
      <w:r>
        <w:t xml:space="preserve">  </w:t>
      </w:r>
      <w:r>
        <w:rPr>
          <w:rFonts w:ascii="Times New Roman" w:hAnsi="Times New Roman"/>
        </w:rPr>
        <w:t>Sample table counting some elements of a manuscript</w:t>
      </w:r>
    </w:p>
    <w:tbl>
      <w:tblPr>
        <w:tblStyle w:val="TableGrid"/>
        <w:tblW w:type="auto" w:w="0"/>
        <w:tblLayout w:type="fixed"/>
        <w:tblLook w:firstColumn="1" w:firstRow="1" w:lastColumn="0" w:lastRow="0" w:noHBand="0" w:noVBand="1" w:val="04A0"/>
      </w:tblPr>
      <w:tblGrid>
        <w:gridCol w:w="2928"/>
        <w:gridCol w:w="2928"/>
        <w:gridCol w:w="2928"/>
      </w:tblGrid>
      <w:tr>
        <w:tc>
          <w:tcPr>
            <w:tcW w:type="dxa" w:w="3600"/>
            <w:shd w:val="clear" w:color="auto" w:fill="F2F4F7"/>
          </w:tcPr>
          <w:p>
            <w:pPr>
              <w:spacing w:after="40"/>
              <w:jc w:val="left"/>
            </w:pPr>
            <w:r>
              <w:rPr>
                <w:rFonts w:ascii="Times New Roman" w:hAnsi="Times New Roman"/>
                <w:b/>
                <w:sz w:val="20"/>
              </w:rPr>
              <w:t>Manuscript Elements</w:t>
            </w:r>
          </w:p>
        </w:tc>
        <w:tc>
          <w:tcPr>
            <w:tcW w:type="dxa" w:w="2160"/>
            <w:shd w:val="clear" w:color="auto" w:fill="F2F4F7"/>
          </w:tcPr>
          <w:p>
            <w:pPr>
              <w:spacing w:after="40"/>
              <w:jc w:val="left"/>
            </w:pPr>
            <w:r>
              <w:rPr>
                <w:rFonts w:ascii="Times New Roman" w:hAnsi="Times New Roman"/>
                <w:b/>
                <w:sz w:val="20"/>
              </w:rPr>
              <w:t>Number</w:t>
            </w:r>
          </w:p>
        </w:tc>
        <w:tc>
          <w:tcPr>
            <w:tcW w:type="dxa" w:w="3024"/>
            <w:shd w:val="clear" w:color="auto" w:fill="F2F4F7"/>
          </w:tcPr>
          <w:p>
            <w:pPr>
              <w:spacing w:after="40"/>
              <w:jc w:val="left"/>
            </w:pPr>
            <w:r>
              <w:rPr>
                <w:rFonts w:ascii="Times New Roman" w:hAnsi="Times New Roman"/>
                <w:b/>
                <w:sz w:val="20"/>
              </w:rPr>
              <w:t>Citation in Text</w:t>
            </w:r>
          </w:p>
        </w:tc>
      </w:tr>
      <w:tr>
        <w:tc>
          <w:tcPr>
            <w:tcW w:type="dxa" w:w="3600"/>
          </w:tcPr>
          <w:p>
            <w:pPr>
              <w:spacing w:after="40"/>
            </w:pPr>
            <w:r>
              <w:rPr>
                <w:rFonts w:ascii="Times New Roman" w:hAnsi="Times New Roman"/>
                <w:sz w:val="20"/>
              </w:rPr>
              <w:t>Figures</w:t>
            </w:r>
          </w:p>
        </w:tc>
        <w:tc>
          <w:tcPr>
            <w:tcW w:type="dxa" w:w="2160"/>
          </w:tcPr>
          <w:p>
            <w:pPr>
              <w:spacing w:after="40"/>
            </w:pPr>
            <w:r>
              <w:rPr>
                <w:rFonts w:ascii="Times New Roman" w:hAnsi="Times New Roman"/>
                <w:sz w:val="20"/>
              </w:rPr>
              <w:t>9</w:t>
            </w:r>
          </w:p>
        </w:tc>
        <w:tc>
          <w:tcPr>
            <w:tcW w:type="dxa" w:w="3024"/>
          </w:tcPr>
          <w:p>
            <w:pPr>
              <w:spacing w:after="40"/>
            </w:pPr>
            <w:r>
              <w:rPr>
                <w:rFonts w:ascii="Times New Roman" w:hAnsi="Times New Roman"/>
                <w:sz w:val="20"/>
              </w:rPr>
              <w:t>Yes</w:t>
            </w:r>
          </w:p>
        </w:tc>
      </w:tr>
      <w:tr>
        <w:tc>
          <w:tcPr>
            <w:tcW w:type="dxa" w:w="3600"/>
          </w:tcPr>
          <w:p>
            <w:pPr>
              <w:spacing w:after="40"/>
            </w:pPr>
            <w:r>
              <w:rPr>
                <w:rFonts w:ascii="Times New Roman" w:hAnsi="Times New Roman"/>
                <w:sz w:val="20"/>
              </w:rPr>
              <w:t>Tables</w:t>
            </w:r>
          </w:p>
        </w:tc>
        <w:tc>
          <w:tcPr>
            <w:tcW w:type="dxa" w:w="2160"/>
          </w:tcPr>
          <w:p>
            <w:pPr>
              <w:spacing w:after="40"/>
            </w:pPr>
            <w:r>
              <w:rPr>
                <w:rFonts w:ascii="Times New Roman" w:hAnsi="Times New Roman"/>
                <w:sz w:val="20"/>
              </w:rPr>
              <w:t>1</w:t>
            </w:r>
          </w:p>
        </w:tc>
        <w:tc>
          <w:tcPr>
            <w:tcW w:type="dxa" w:w="3024"/>
          </w:tcPr>
          <w:p>
            <w:pPr>
              <w:spacing w:after="40"/>
            </w:pPr>
            <w:r>
              <w:rPr>
                <w:rFonts w:ascii="Times New Roman" w:hAnsi="Times New Roman"/>
                <w:sz w:val="20"/>
              </w:rPr>
              <w:t>Yes</w:t>
            </w:r>
          </w:p>
        </w:tc>
      </w:tr>
      <w:tr>
        <w:tc>
          <w:tcPr>
            <w:tcW w:type="dxa" w:w="3600"/>
          </w:tcPr>
          <w:p>
            <w:pPr>
              <w:spacing w:after="40"/>
            </w:pPr>
            <w:r/>
            <w:r>
              <w:rPr>
                <w:rFonts w:ascii="Times New Roman" w:hAnsi="Times New Roman"/>
                <w:sz w:val="20"/>
              </w:rPr>
              <w:t>Equations</w:t>
            </w:r>
            <w:r>
              <w:rPr>
                <w:rFonts w:ascii="Times New Roman" w:hAnsi="Times New Roman"/>
                <w:sz w:val="16"/>
                <w:vertAlign w:val="superscript"/>
              </w:rPr>
              <w:t>a</w:t>
            </w:r>
          </w:p>
        </w:tc>
        <w:tc>
          <w:tcPr>
            <w:tcW w:type="dxa" w:w="2160"/>
          </w:tcPr>
          <w:p>
            <w:pPr>
              <w:spacing w:after="40"/>
            </w:pPr>
            <w:r>
              <w:rPr>
                <w:rFonts w:ascii="Times New Roman" w:hAnsi="Times New Roman"/>
                <w:sz w:val="20"/>
              </w:rPr>
              <w:t>1</w:t>
            </w:r>
          </w:p>
        </w:tc>
        <w:tc>
          <w:tcPr>
            <w:tcW w:type="dxa" w:w="3024"/>
          </w:tcPr>
          <w:p>
            <w:pPr>
              <w:spacing w:after="40"/>
            </w:pPr>
            <w:r>
              <w:rPr>
                <w:rFonts w:ascii="Times New Roman" w:hAnsi="Times New Roman"/>
                <w:sz w:val="20"/>
              </w:rPr>
              <w:t>Yes</w:t>
            </w:r>
          </w:p>
        </w:tc>
      </w:tr>
    </w:tbl>
    <w:p>
      <w:pPr>
        <w:keepNext/>
        <w:spacing w:before="80" w:after="360"/>
      </w:pPr>
      <w:r>
        <w:rPr>
          <w:rFonts w:ascii="Times New Roman" w:hAnsi="Times New Roman"/>
          <w:sz w:val="16"/>
          <w:vertAlign w:val="superscript"/>
        </w:rPr>
        <w:t>a</w:t>
      </w:r>
      <w:r>
        <w:rPr>
          <w:rFonts w:ascii="Times New Roman" w:hAnsi="Times New Roman"/>
          <w:sz w:val="18"/>
        </w:rPr>
        <w:t>Sample table footnote. Place cursor in cell, click Table Footnote to link.</w:t>
      </w:r>
    </w:p>
    <w:p>
      <w:pPr>
        <w:keepNext/>
        <w:spacing w:before="240" w:after="80"/>
        <w:jc w:val="center"/>
      </w:pPr>
    </w:p>
    <w:tbl>
      <w:tblPr>
        <w:tblW w:type="auto" w:w="0"/>
        <w:tblLayout w:type="fixed"/>
        <w:tblLook w:firstColumn="1" w:firstRow="1" w:lastColumn="0" w:lastRow="0" w:noHBand="0" w:noVBand="1" w:val="04A0"/>
      </w:tblPr>
      <w:tblGrid>
        <w:gridCol w:w="8784"/>
      </w:tblGrid>
      <w:tr>
        <w:tc>
          <w:tcPr>
            <w:tcW w:type="dxa" w:w="6480"/>
            <w:shd w:val="clear" w:color="auto" w:fill="FAFAFA"/>
            <w:tcBorders>
              <w:top w:val="single" w:sz="4" w:color="C0C0C0"/>
              <w:bottom w:val="single" w:sz="4" w:color="C0C0C0"/>
              <w:left w:val="single" w:sz="4" w:color="C0C0C0"/>
              <w:right w:val="single" w:sz="4" w:color="C0C0C0"/>
            </w:tcBorders>
          </w:tcPr>
          <w:p>
            <w:pPr>
              <w:spacing w:before="240" w:after="240"/>
              <w:jc w:val="center"/>
            </w:pPr>
            <w:r>
              <w:rPr>
                <w:rFonts w:ascii="Times New Roman" w:hAnsi="Times New Roman"/>
                <w:b/>
                <w:sz w:val="20"/>
              </w:rPr>
              <w:t>[IMAGE PLACEHOLDER: Fig. 1 Menu Styling Ribbon]</w:t>
            </w:r>
          </w:p>
        </w:tc>
      </w:tr>
    </w:tbl>
    <w:p>
      <w:pPr>
        <w:spacing w:before="80" w:after="360"/>
        <w:jc w:val="center"/>
      </w:pPr>
      <w:r>
        <w:rPr>
          <w:rFonts w:ascii="Times New Roman" w:hAnsi="Times New Roman"/>
          <w:b/>
        </w:rPr>
        <w:t>Fig. 1</w:t>
      </w:r>
      <w:r>
        <w:t xml:space="preserve"> </w:t>
      </w:r>
      <w:r>
        <w:rPr>
          <w:rFonts w:ascii="Times New Roman" w:hAnsi="Times New Roman"/>
          <w:b/>
        </w:rPr>
        <w:t>1</w:t>
      </w:r>
      <w:r>
        <w:t xml:space="preserve"> </w:t>
      </w:r>
      <w:r>
        <w:rPr>
          <w:rFonts w:ascii="Times New Roman" w:hAnsi="Times New Roman"/>
        </w:rPr>
        <w:t>Screenshot showing the Word menu, highlighting the “Styling” option</w:t>
      </w:r>
    </w:p>
    <w:p>
      <w:pPr>
        <w:pStyle w:val="Heading1"/>
      </w:pPr>
      <w:r>
        <w:t>8 Cross-Referencing and Links</w:t>
      </w:r>
    </w:p>
    <w:p>
      <w:pPr>
        <w:spacing w:before="0" w:after="120" w:line="276" w:lineRule="auto"/>
        <w:ind w:firstLine="0"/>
      </w:pPr>
      <w:r>
        <w:rPr>
          <w:rFonts w:ascii="Times New Roman" w:hAnsi="Times New Roman"/>
          <w:sz w:val="22"/>
        </w:rPr>
        <w:t>Springer Nature uses standard cross-referencing styles to link to figures, tables, equations, sections, and bibliographic references. The 'Insert Link' menu provides automated formatting fields:</w:t>
      </w:r>
    </w:p>
    <w:p>
      <w:pPr>
        <w:spacing w:after="80" w:line="276" w:lineRule="auto"/>
        <w:ind w:left="576" w:hanging="360"/>
      </w:pPr>
      <w:r>
        <w:rPr>
          <w:rFonts w:ascii="Times New Roman" w:hAnsi="Times New Roman"/>
        </w:rPr>
      </w:r>
      <w:r>
        <w:rPr>
          <w:rFonts w:ascii="Times New Roman" w:hAnsi="Times New Roman"/>
          <w:b/>
        </w:rPr>
        <w:t xml:space="preserve">Table Link: </w:t>
      </w:r>
      <w:r>
        <w:rPr>
          <w:rFonts w:ascii="Times New Roman" w:hAnsi="Times New Roman"/>
        </w:rPr>
        <w:t xml:space="preserve">Cites tables with a red arrow prefix, e.g., </w:t>
      </w:r>
      <w:r>
        <w:rPr>
          <w:rFonts w:ascii="Times New Roman" w:hAnsi="Times New Roman"/>
          <w:b/>
          <w:color w:val="DC2626"/>
        </w:rPr>
        <w:t>→</w:t>
      </w:r>
      <w:r>
        <w:rPr>
          <w:rFonts w:ascii="Times New Roman" w:hAnsi="Times New Roman"/>
        </w:rPr>
        <w:t xml:space="preserve"> Table 1.</w:t>
      </w:r>
    </w:p>
    <w:p>
      <w:pPr>
        <w:spacing w:after="80" w:line="276" w:lineRule="auto"/>
        <w:ind w:left="576" w:hanging="360"/>
      </w:pPr>
      <w:r>
        <w:rPr>
          <w:rFonts w:ascii="Times New Roman" w:hAnsi="Times New Roman"/>
        </w:rPr>
      </w:r>
      <w:r>
        <w:rPr>
          <w:rFonts w:ascii="Times New Roman" w:hAnsi="Times New Roman"/>
          <w:b/>
        </w:rPr>
        <w:t xml:space="preserve">Figure Link: </w:t>
      </w:r>
      <w:r>
        <w:rPr>
          <w:rFonts w:ascii="Times New Roman" w:hAnsi="Times New Roman"/>
        </w:rPr>
        <w:t xml:space="preserve">Cites figures with a red arrow prefix, e.g., </w:t>
      </w:r>
      <w:r>
        <w:rPr>
          <w:rFonts w:ascii="Times New Roman" w:hAnsi="Times New Roman"/>
          <w:b/>
          <w:color w:val="DC2626"/>
        </w:rPr>
        <w:t>→</w:t>
      </w:r>
      <w:r>
        <w:rPr>
          <w:rFonts w:ascii="Times New Roman" w:hAnsi="Times New Roman"/>
        </w:rPr>
        <w:t xml:space="preserve"> Fig. 1.</w:t>
      </w:r>
    </w:p>
    <w:p>
      <w:pPr>
        <w:spacing w:after="80" w:line="276" w:lineRule="auto"/>
        <w:ind w:left="576" w:hanging="360"/>
      </w:pPr>
      <w:r>
        <w:rPr>
          <w:rFonts w:ascii="Times New Roman" w:hAnsi="Times New Roman"/>
          <w:b/>
        </w:rPr>
        <w:t xml:space="preserve">Equation Link: </w:t>
      </w:r>
      <w:r>
        <w:rPr>
          <w:rFonts w:ascii="Times New Roman" w:hAnsi="Times New Roman"/>
        </w:rPr>
        <w:t>Refers to equations in parentheses, e.g., Eq. (1).</w:t>
      </w:r>
    </w:p>
    <w:p>
      <w:pPr>
        <w:spacing w:after="80" w:line="276" w:lineRule="auto"/>
        <w:ind w:left="576" w:hanging="360"/>
      </w:pPr>
      <w:r>
        <w:rPr>
          <w:rFonts w:ascii="Times New Roman" w:hAnsi="Times New Roman"/>
          <w:b/>
        </w:rPr>
        <w:t xml:space="preserve">Reference Citation (Name Year): </w:t>
      </w:r>
      <w:r>
        <w:rPr>
          <w:rFonts w:ascii="Times New Roman" w:hAnsi="Times New Roman"/>
        </w:rPr>
        <w:t>Formats author-date citations, e.g., (Author 2024). Use consistently throughout the chapter.</w:t>
      </w:r>
    </w:p>
    <w:p>
      <w:pPr>
        <w:spacing w:after="80" w:line="276" w:lineRule="auto"/>
        <w:ind w:left="576" w:hanging="360"/>
      </w:pPr>
      <w:r>
        <w:rPr>
          <w:rFonts w:ascii="Times New Roman" w:hAnsi="Times New Roman"/>
          <w:b/>
        </w:rPr>
        <w:t xml:space="preserve">Reference Citation [Number]: </w:t>
      </w:r>
      <w:r>
        <w:rPr>
          <w:rFonts w:ascii="Times New Roman" w:hAnsi="Times New Roman"/>
        </w:rPr>
        <w:t>Formats numbered citation in square brackets, e.g., [1, 2]. Do not mix citation styles.</w:t>
      </w:r>
    </w:p>
    <w:p>
      <w:pPr>
        <w:spacing w:after="80" w:line="276" w:lineRule="auto"/>
        <w:ind w:left="576" w:hanging="360"/>
      </w:pPr>
      <w:r>
        <w:rPr>
          <w:rFonts w:ascii="Times New Roman" w:hAnsi="Times New Roman"/>
        </w:rPr>
      </w:r>
      <w:r>
        <w:rPr>
          <w:rFonts w:ascii="Times New Roman" w:hAnsi="Times New Roman"/>
          <w:b/>
        </w:rPr>
        <w:t xml:space="preserve">Section Heading Cross-References: </w:t>
      </w:r>
      <w:r>
        <w:rPr>
          <w:rFonts w:ascii="Times New Roman" w:hAnsi="Times New Roman"/>
        </w:rPr>
        <w:t xml:space="preserve">Links to sections within the chapter, e.g., </w:t>
      </w:r>
      <w:r>
        <w:rPr>
          <w:rFonts w:ascii="Times New Roman" w:hAnsi="Times New Roman"/>
          <w:b/>
          <w:color w:val="DC2626"/>
        </w:rPr>
        <w:t>→</w:t>
      </w:r>
      <w:r>
        <w:rPr>
          <w:rFonts w:ascii="Times New Roman" w:hAnsi="Times New Roman"/>
        </w:rPr>
        <w:t xml:space="preserve"> Section 2.</w:t>
      </w:r>
    </w:p>
    <w:p>
      <w:pPr>
        <w:spacing w:after="80" w:line="276" w:lineRule="auto"/>
        <w:ind w:left="576" w:hanging="360"/>
      </w:pPr>
      <w:r>
        <w:rPr>
          <w:rFonts w:ascii="Times New Roman" w:hAnsi="Times New Roman"/>
        </w:rPr>
      </w:r>
      <w:r>
        <w:rPr>
          <w:rFonts w:ascii="Times New Roman" w:hAnsi="Times New Roman"/>
          <w:b/>
        </w:rPr>
        <w:t xml:space="preserve">Chapter Cross-References: </w:t>
      </w:r>
      <w:r>
        <w:rPr>
          <w:rFonts w:ascii="Times New Roman" w:hAnsi="Times New Roman"/>
        </w:rPr>
        <w:t xml:space="preserve">Links to chapters within the book, e.g., </w:t>
      </w:r>
      <w:r>
        <w:rPr>
          <w:rFonts w:ascii="Times New Roman" w:hAnsi="Times New Roman"/>
          <w:b/>
          <w:color w:val="DC2626"/>
        </w:rPr>
        <w:t>→</w:t>
      </w:r>
      <w:r>
        <w:rPr>
          <w:rFonts w:ascii="Times New Roman" w:hAnsi="Times New Roman"/>
        </w:rPr>
        <w:t xml:space="preserve"> Chapter 2.</w:t>
      </w:r>
    </w:p>
    <w:p>
      <w:pPr>
        <w:pStyle w:val="Heading1"/>
      </w:pPr>
      <w:r>
        <w:t>9 Chapter Back Matter</w:t>
      </w:r>
    </w:p>
    <w:p>
      <w:pPr>
        <w:spacing w:before="0" w:after="120" w:line="276" w:lineRule="auto"/>
        <w:ind w:firstLine="0"/>
      </w:pPr>
      <w:r>
        <w:rPr>
          <w:rFonts w:ascii="Times New Roman" w:hAnsi="Times New Roman"/>
          <w:sz w:val="22"/>
        </w:rPr>
        <w:t>The back matter of your chapter contains supplementary information, acknowledgments, mandatory declarations, and the comprehensive bibliography. Formatting structures for each are provided below:</w:t>
      </w:r>
    </w:p>
    <w:p>
      <w:pPr>
        <w:pStyle w:val="Heading2"/>
      </w:pPr>
      <w:r>
        <w:t>Appendix</w:t>
      </w:r>
    </w:p>
    <w:p>
      <w:pPr>
        <w:spacing w:before="0" w:after="120" w:line="276" w:lineRule="auto"/>
        <w:ind w:firstLine="0"/>
      </w:pPr>
      <w:r>
        <w:rPr>
          <w:rFonts w:ascii="Times New Roman" w:hAnsi="Times New Roman"/>
          <w:sz w:val="22"/>
        </w:rPr>
        <w:t>An appendix is a supplementary section at the end of a chapter that contains additional information relevant to the chapter's content but is not essential for understanding the main text. The numbering of tables, figures, and equations in the appendix section continues on from that in the main text.</w:t>
      </w:r>
    </w:p>
    <w:p>
      <w:pPr>
        <w:pStyle w:val="Heading2"/>
      </w:pPr>
      <w:r>
        <w:t>Acknowledgments</w:t>
      </w:r>
    </w:p>
    <w:p>
      <w:pPr>
        <w:spacing w:before="0" w:after="120" w:line="276" w:lineRule="auto"/>
        <w:ind w:firstLine="0"/>
      </w:pPr>
      <w:r>
        <w:rPr>
          <w:rFonts w:ascii="Times New Roman" w:hAnsi="Times New Roman"/>
          <w:sz w:val="22"/>
        </w:rPr>
        <w:t>In the Acknowledgments section, you can express your appreciation to those who supported your research and writing. Selecting the 'Acknowledgment' option will conveniently add the heading 'Acknowledgments' for you.</w:t>
      </w:r>
    </w:p>
    <w:p>
      <w:pPr>
        <w:pStyle w:val="Heading2"/>
      </w:pPr>
      <w:r>
        <w:t>Competing Interests</w:t>
      </w:r>
    </w:p>
    <w:p>
      <w:pPr>
        <w:spacing w:before="0" w:after="120" w:line="276" w:lineRule="auto"/>
        <w:ind w:firstLine="0"/>
      </w:pPr>
      <w:r>
        <w:rPr>
          <w:rFonts w:ascii="Times New Roman" w:hAnsi="Times New Roman"/>
          <w:sz w:val="22"/>
        </w:rPr>
        <w:t>Please declare any competing interests in the context of your chapter. In edited works, a declaration of competing interests is required for each chapter. The following sentences are provided as examples:</w:t>
      </w:r>
    </w:p>
    <w:p>
      <w:pPr>
        <w:spacing w:before="0" w:after="120" w:line="276" w:lineRule="auto"/>
        <w:ind w:firstLine="360"/>
      </w:pPr>
      <w:r>
        <w:rPr>
          <w:rFonts w:ascii="Times New Roman" w:hAnsi="Times New Roman"/>
          <w:sz w:val="22"/>
        </w:rPr>
        <w:t>“This study was funded by [X] [grant number X]. [Author A] has a received research grant from [Company W]. [Author B] has received a speaker honorarium from [Company X] and owns stock in [Company Y]. [Author C] is a member of [committee Z]. The authors have no conflicts of interest to declare that are relevant to the content of this chapter.”</w:t>
      </w:r>
    </w:p>
    <w:p>
      <w:pPr>
        <w:pStyle w:val="Heading2"/>
      </w:pPr>
      <w:r>
        <w:t>Ethics Approval</w:t>
      </w:r>
    </w:p>
    <w:p>
      <w:pPr>
        <w:spacing w:before="0" w:after="120" w:line="276" w:lineRule="auto"/>
        <w:ind w:firstLine="0"/>
      </w:pPr>
      <w:r>
        <w:rPr>
          <w:rFonts w:ascii="Times New Roman" w:hAnsi="Times New Roman"/>
          <w:sz w:val="22"/>
        </w:rPr>
        <w:t>Ethics approval must only be included in contributions on primary studies with humans or with animals. In authored works, the declarations should be included in the Book Front Matter. If your chapter includes primary studies with humans, please declare adherence of ethical standards as follows:</w:t>
      </w:r>
    </w:p>
    <w:p>
      <w:pPr>
        <w:spacing w:before="0" w:after="120" w:line="276" w:lineRule="auto"/>
        <w:ind w:firstLine="360"/>
      </w:pPr>
      <w:r>
        <w:rPr>
          <w:rFonts w:ascii="Times New Roman" w:hAnsi="Times New Roman"/>
          <w:sz w:val="22"/>
        </w:rPr>
        <w:t>“This study was performed in line with the principles of the Declaration of Helsinki. Approval was granted by the Ethics Committee of University B (Date.../No. ...). In addition, for human participants, authors are required to include a statement that informed consent was obtained from individual participants or parents/guardians if the participant is minor.”</w:t>
      </w:r>
    </w:p>
    <w:p>
      <w:pPr>
        <w:pStyle w:val="Heading1"/>
      </w:pPr>
      <w:r>
        <w:t>References</w:t>
      </w:r>
    </w:p>
    <w:p>
      <w:pPr>
        <w:spacing w:before="0" w:after="120" w:line="276" w:lineRule="auto"/>
        <w:ind w:firstLine="0"/>
      </w:pPr>
      <w:r>
        <w:rPr>
          <w:rFonts w:ascii="Times New Roman" w:hAnsi="Times New Roman"/>
          <w:sz w:val="22"/>
        </w:rPr>
        <w:t>The reference list is placed at the end of the chapter. Springer Nature supports both Author-Date (Name-Year) and Numbered reference formats. Below are properly styled sample references matching official specifications:</w:t>
      </w:r>
    </w:p>
    <w:p>
      <w:pPr>
        <w:spacing w:before="0" w:after="80" w:line="276" w:lineRule="auto"/>
        <w:ind w:left="576" w:hanging="576"/>
      </w:pPr>
      <w:r>
        <w:rPr>
          <w:rFonts w:ascii="Times New Roman" w:hAnsi="Times New Roman"/>
          <w:sz w:val="20"/>
        </w:rPr>
        <w:t>Aaron M (1999) The future of genomics. In: Williams H (ed) Proceedings of the genomic researchers, Boston, 1999</w:t>
      </w:r>
    </w:p>
    <w:p>
      <w:pPr>
        <w:spacing w:before="0" w:after="80" w:line="276" w:lineRule="auto"/>
        <w:ind w:left="576" w:hanging="576"/>
      </w:pPr>
      <w:r>
        <w:rPr>
          <w:rFonts w:ascii="Times New Roman" w:hAnsi="Times New Roman"/>
          <w:sz w:val="20"/>
        </w:rPr>
        <w:t>Adorno TW (1966) Negative Dialektik. Suhrkamp, Frankfurt. English edition: Adorno TW (1973) Negative dialectics (trans: Ashton EB). Routledge, London</w:t>
      </w:r>
    </w:p>
    <w:p>
      <w:pPr>
        <w:spacing w:before="0" w:after="80" w:line="276" w:lineRule="auto"/>
        <w:ind w:left="576" w:hanging="576"/>
      </w:pPr>
      <w:r>
        <w:rPr>
          <w:rFonts w:ascii="Times New Roman" w:hAnsi="Times New Roman"/>
          <w:sz w:val="20"/>
        </w:rPr>
        <w:t>Babichev SA, Ries J, Lvovsky AI (2002) Quantum scissors: teleportation of single-mode optical states by means of a nonlocal single photon. Preprint at https://arxiv.org/abs/quant-ph/0208066</w:t>
      </w:r>
    </w:p>
    <w:p>
      <w:pPr>
        <w:spacing w:before="0" w:after="80" w:line="276" w:lineRule="auto"/>
        <w:ind w:left="576" w:hanging="576"/>
      </w:pPr>
      <w:r>
        <w:rPr>
          <w:rFonts w:ascii="Times New Roman" w:hAnsi="Times New Roman"/>
          <w:sz w:val="20"/>
        </w:rPr>
        <w:t>Brown B, Aaron M (2001) The politics of nature. In: Smith J (ed) The rise of modern genomics, 3rd edn. Wiley, New York, p 234–295</w:t>
      </w:r>
    </w:p>
    <w:p>
      <w:pPr>
        <w:spacing w:before="0" w:after="80" w:line="276" w:lineRule="auto"/>
        <w:ind w:left="576" w:hanging="576"/>
      </w:pPr>
      <w:r>
        <w:rPr>
          <w:rFonts w:ascii="Times New Roman" w:hAnsi="Times New Roman"/>
          <w:sz w:val="20"/>
        </w:rPr>
        <w:t>Chung S-T, Morris RL (1978) Isolation and characterization of plasmid deoxyribonucleic acid from Streptomyces fradiae. Paper presented at the 3rd international symposium on the genetics of industrial microorganisms, University of Wisconsin, Madison, 4–9 June 1978</w:t>
      </w:r>
    </w:p>
    <w:p>
      <w:pPr>
        <w:spacing w:before="0" w:after="80" w:line="276" w:lineRule="auto"/>
        <w:ind w:left="576" w:hanging="576"/>
      </w:pPr>
      <w:r>
        <w:rPr>
          <w:rFonts w:ascii="Times New Roman" w:hAnsi="Times New Roman"/>
          <w:sz w:val="20"/>
        </w:rPr>
        <w:t>Doe J (1999a) Title of subordinate document. In: The dictionary of substances and their effects. Royal Society of Chemistry. Available via DIALOG. http://www.rsc.org/dose/title. Accessed 15 Jan 1999</w:t>
      </w:r>
    </w:p>
    <w:p>
      <w:pPr>
        <w:spacing w:before="0" w:after="80" w:line="276" w:lineRule="auto"/>
        <w:ind w:left="576" w:hanging="576"/>
      </w:pPr>
      <w:r>
        <w:rPr>
          <w:rFonts w:ascii="Times New Roman" w:hAnsi="Times New Roman"/>
          <w:sz w:val="20"/>
        </w:rPr>
        <w:t>Doe J (1999b) Title of preprint. http://www.uni-heidelberg.de/mydata.html. Accessed 25 Dec 1999</w:t>
      </w:r>
    </w:p>
    <w:p>
      <w:pPr>
        <w:spacing w:before="0" w:after="80" w:line="276" w:lineRule="auto"/>
        <w:ind w:left="576" w:hanging="576"/>
      </w:pPr>
      <w:r>
        <w:rPr>
          <w:rFonts w:ascii="Times New Roman" w:hAnsi="Times New Roman"/>
          <w:sz w:val="20"/>
        </w:rPr>
        <w:t>Doe J (1999c) Trivial HTTP, RFC2169. ftp://ftp.isi.edu/in-notes/rfc2169.txt. Accessed 12 Nov 1999</w:t>
      </w:r>
    </w:p>
    <w:p>
      <w:pPr>
        <w:spacing w:before="0" w:after="80" w:line="276" w:lineRule="auto"/>
        <w:ind w:left="576" w:hanging="576"/>
      </w:pPr>
      <w:r>
        <w:rPr>
          <w:rFonts w:ascii="Times New Roman" w:hAnsi="Times New Roman"/>
          <w:sz w:val="20"/>
        </w:rPr>
        <w:t>Doe J (2000) Title of supplementary material. http://www.privatehomepage.com. Accessed 22 Feb 2000</w:t>
      </w:r>
    </w:p>
    <w:p>
      <w:pPr>
        <w:spacing w:before="0" w:after="80" w:line="276" w:lineRule="auto"/>
        <w:ind w:left="576" w:hanging="576"/>
      </w:pPr>
      <w:r>
        <w:rPr>
          <w:rFonts w:ascii="Times New Roman" w:hAnsi="Times New Roman"/>
          <w:sz w:val="20"/>
        </w:rPr>
        <w:t>International Anatomical Nomenclature Committee (1966) Nomina anatomica. Excerpta Medica, Amsterdam</w:t>
      </w:r>
    </w:p>
    <w:p>
      <w:pPr>
        <w:spacing w:before="0" w:after="80" w:line="276" w:lineRule="auto"/>
        <w:ind w:left="576" w:hanging="576"/>
      </w:pPr>
      <w:r>
        <w:rPr>
          <w:rFonts w:ascii="Times New Roman" w:hAnsi="Times New Roman"/>
          <w:sz w:val="20"/>
        </w:rPr>
        <w:t>ISSN International Centre (2006) The ISSN register. http://www.issn.org. Accessed 20 Feb 2007</w:t>
      </w:r>
    </w:p>
    <w:p>
      <w:pPr>
        <w:spacing w:before="0" w:after="80" w:line="276" w:lineRule="auto"/>
        <w:ind w:left="576" w:hanging="576"/>
      </w:pPr>
      <w:r>
        <w:rPr>
          <w:rFonts w:ascii="Times New Roman" w:hAnsi="Times New Roman"/>
          <w:sz w:val="20"/>
        </w:rPr>
        <w:t>Major M et al (2007) Recent developments. In: Jones W (ed) Surgery today. Springer, Dordrecht (in press)</w:t>
      </w:r>
    </w:p>
    <w:p>
      <w:pPr>
        <w:spacing w:before="0" w:after="80" w:line="276" w:lineRule="auto"/>
        <w:ind w:left="576" w:hanging="576"/>
      </w:pPr>
      <w:r>
        <w:rPr>
          <w:rFonts w:ascii="Times New Roman" w:hAnsi="Times New Roman"/>
          <w:sz w:val="20"/>
        </w:rPr>
        <w:t>Marikhin VY, Myasnikova LP (1977) Nadmolekulyarnaya struktura polimerov (The supramolecular structure of polymers). Khimiya, Leningrad</w:t>
      </w:r>
    </w:p>
    <w:p>
      <w:pPr>
        <w:spacing w:before="0" w:after="80" w:line="276" w:lineRule="auto"/>
        <w:ind w:left="576" w:hanging="576"/>
      </w:pPr>
      <w:r>
        <w:rPr>
          <w:rFonts w:ascii="Times New Roman" w:hAnsi="Times New Roman"/>
          <w:sz w:val="20"/>
        </w:rPr>
        <w:t>Mod Genomics J (1998) Rodent genes. Mod Genomics J 14(6):126–233</w:t>
      </w:r>
    </w:p>
    <w:p>
      <w:pPr>
        <w:spacing w:before="0" w:after="80" w:line="276" w:lineRule="auto"/>
        <w:ind w:left="576" w:hanging="576"/>
      </w:pPr>
      <w:r>
        <w:rPr>
          <w:rFonts w:ascii="Times New Roman" w:hAnsi="Times New Roman"/>
          <w:sz w:val="20"/>
        </w:rPr>
        <w:t>Norman LO (1998) Lightning rods. US Patent 4,379,752, 9 Sept 1998</w:t>
      </w:r>
    </w:p>
    <w:p>
      <w:pPr>
        <w:spacing w:before="0" w:after="80" w:line="276" w:lineRule="auto"/>
        <w:ind w:left="576" w:hanging="576"/>
      </w:pPr>
      <w:r>
        <w:rPr>
          <w:rFonts w:ascii="Times New Roman" w:hAnsi="Times New Roman"/>
          <w:sz w:val="20"/>
        </w:rPr>
        <w:t>Ozkaya G et al (2018) Three-dimensional motion capture data during repetitive overarm throwing practice. figshare https://doi.org/10.6084/m9.figshare.c.4017808</w:t>
      </w:r>
    </w:p>
    <w:p>
      <w:pPr>
        <w:spacing w:before="0" w:after="80" w:line="276" w:lineRule="auto"/>
        <w:ind w:left="576" w:hanging="576"/>
      </w:pPr>
      <w:r>
        <w:rPr>
          <w:rFonts w:ascii="Times New Roman" w:hAnsi="Times New Roman"/>
          <w:sz w:val="20"/>
        </w:rPr>
        <w:t>Saito Y, Hyuga H (2007) Rate equation approaches to amplification of enantiomeric excess and chiral symmetry breaking. Top Curr Chem. https://doi.org/10.1007/128_2006_108</w:t>
      </w:r>
    </w:p>
    <w:p>
      <w:pPr>
        <w:spacing w:before="0" w:after="80" w:line="276" w:lineRule="auto"/>
        <w:ind w:left="576" w:hanging="576"/>
      </w:pPr>
      <w:r>
        <w:rPr>
          <w:rFonts w:ascii="Times New Roman" w:hAnsi="Times New Roman"/>
          <w:sz w:val="20"/>
        </w:rPr>
        <w:t>Saunders DS (1976) The biological clock of insects. Sci Am 234(2):114–121</w:t>
      </w:r>
    </w:p>
    <w:p>
      <w:pPr>
        <w:spacing w:before="0" w:after="80" w:line="276" w:lineRule="auto"/>
        <w:ind w:left="576" w:hanging="576"/>
      </w:pPr>
      <w:r>
        <w:rPr>
          <w:rFonts w:ascii="Times New Roman" w:hAnsi="Times New Roman"/>
          <w:sz w:val="20"/>
        </w:rPr>
        <w:t>Schmidt H (1989) Testing results. In: Hutzinger O (ed) Handbook of environmental chemistry, vol 2E. Springer, Heidelberg, p 111</w:t>
      </w:r>
    </w:p>
    <w:p>
      <w:pPr>
        <w:spacing w:before="0" w:after="80" w:line="276" w:lineRule="auto"/>
        <w:ind w:left="576" w:hanging="576"/>
      </w:pPr>
      <w:r>
        <w:rPr>
          <w:rFonts w:ascii="Times New Roman" w:hAnsi="Times New Roman"/>
          <w:sz w:val="20"/>
        </w:rPr>
        <w:t>Slifka MK, Whitton JL (2000) Clinical implications of dysregulated cytokine production. J Mol Med 78:74–80. https://doi.org/10.1007/s001090000086</w:t>
      </w:r>
    </w:p>
    <w:p>
      <w:pPr>
        <w:spacing w:before="0" w:after="80" w:line="276" w:lineRule="auto"/>
        <w:ind w:left="576" w:hanging="576"/>
      </w:pPr>
      <w:r>
        <w:rPr>
          <w:rFonts w:ascii="Times New Roman" w:hAnsi="Times New Roman"/>
          <w:sz w:val="20"/>
        </w:rPr>
        <w:t>Smith SE (1976) Neuromuscular blocking drugs in man. In: Zaimis E (ed) Neuromuscular junction. Handbook of experimental pharmacology, vol 42. Springer, Heidelberg, pp 593–660</w:t>
      </w:r>
    </w:p>
    <w:p>
      <w:pPr>
        <w:spacing w:before="0" w:after="80" w:line="276" w:lineRule="auto"/>
        <w:ind w:left="576" w:hanging="576"/>
      </w:pPr>
      <w:r>
        <w:rPr>
          <w:rFonts w:ascii="Times New Roman" w:hAnsi="Times New Roman"/>
          <w:sz w:val="20"/>
        </w:rPr>
        <w:t>Smith J (ed) (1998) Rodent genes. Mod Genomics J 14(6):126–233</w:t>
      </w:r>
    </w:p>
    <w:p>
      <w:pPr>
        <w:spacing w:before="0" w:after="80" w:line="276" w:lineRule="auto"/>
        <w:ind w:left="576" w:hanging="576"/>
      </w:pPr>
      <w:r>
        <w:rPr>
          <w:rFonts w:ascii="Times New Roman" w:hAnsi="Times New Roman"/>
          <w:sz w:val="20"/>
        </w:rPr>
        <w:t>Smith J, Brown B (eds) (2001) The demise of modern genomics. Blackwell, London</w:t>
      </w:r>
    </w:p>
    <w:p>
      <w:pPr>
        <w:spacing w:before="0" w:after="80" w:line="276" w:lineRule="auto"/>
        <w:ind w:left="576" w:hanging="576"/>
      </w:pPr>
      <w:r>
        <w:rPr>
          <w:rFonts w:ascii="Times New Roman" w:hAnsi="Times New Roman"/>
          <w:sz w:val="20"/>
        </w:rPr>
        <w:t>Smith J, Jones M Jr, Houghton L et al (1999) Future of health insurance. N Engl J Med 965:325–329</w:t>
      </w:r>
    </w:p>
    <w:p>
      <w:pPr>
        <w:spacing w:before="0" w:after="80" w:line="276" w:lineRule="auto"/>
        <w:ind w:left="576" w:hanging="576"/>
      </w:pPr>
      <w:r>
        <w:rPr>
          <w:rFonts w:ascii="Times New Roman" w:hAnsi="Times New Roman"/>
          <w:sz w:val="20"/>
        </w:rPr>
        <w:t>South J, Blass B (2001) The future of modern genomics. Blackwell, London</w:t>
      </w:r>
    </w:p>
    <w:p>
      <w:pPr>
        <w:spacing w:before="0" w:after="80" w:line="276" w:lineRule="auto"/>
        <w:ind w:left="576" w:hanging="576"/>
      </w:pPr>
      <w:r>
        <w:rPr>
          <w:rFonts w:ascii="Times New Roman" w:hAnsi="Times New Roman"/>
          <w:sz w:val="20"/>
        </w:rPr>
        <w:t>Trent JW (1975) Experimental acute renal failure. Dissertation, University of California</w:t>
      </w:r>
    </w:p>
    <w:p>
      <w:pPr>
        <w:spacing w:before="0" w:after="80" w:line="276" w:lineRule="auto"/>
        <w:ind w:left="576" w:hanging="576"/>
      </w:pPr>
      <w:r>
        <w:rPr>
          <w:rFonts w:ascii="Times New Roman" w:hAnsi="Times New Roman"/>
          <w:sz w:val="20"/>
        </w:rPr>
        <w:t>Wolf GH, Lehman P-F (1976) Atlas der Anatomie, vol 4/3, 4th edn. Fischer, Berlin</w:t>
      </w:r>
    </w:p>
    <w:p>
      <w:pPr>
        <w:spacing w:before="0" w:after="80" w:line="276" w:lineRule="auto"/>
        <w:ind w:left="576" w:hanging="576"/>
      </w:pPr>
      <w:r>
        <w:rPr>
          <w:rFonts w:ascii="Times New Roman" w:hAnsi="Times New Roman"/>
          <w:sz w:val="20"/>
        </w:rPr>
        <w:t>Zowghi D et al (1996) A framework for reasoning about requirements in evolution. In: Foo N, Goebel R (eds) PRICAI’96: topics in artificial intelligence. 4th Pacific Rim conference on artificial intelligence, Cairns, August 1996. Lecture notes in computer science (Lecture notes in artificial intelligence), vol 1114. Springer, Heidelberg, p 157</w:t>
      </w:r>
    </w:p>
    <w:sectPr w:rsidR="00FC693F" w:rsidRPr="0006063C" w:rsidSect="00034616">
      <w:headerReference w:type="default" r:id="rId9"/>
      <w:footerReference w:type="default" r:id="rId1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808080"/>
        <w:sz w:val="18"/>
      </w:rPr>
      <w:t xml:space="preserve">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i/>
        <w:color w:val="808080"/>
        <w:sz w:val="17"/>
      </w:rPr>
      <w:t>Springer Nature Manuscript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Times New Roman" w:hAnsi="Times New Roman"/>
      <w:b/>
      <w:bCs/>
      <w:color w:val="00000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